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DB1" w:rsidRPr="00B37314" w:rsidRDefault="00305DB1" w:rsidP="00470F01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B37314">
        <w:rPr>
          <w:rFonts w:ascii="Arial" w:hAnsi="Arial" w:cs="Arial"/>
          <w:b/>
          <w:sz w:val="24"/>
          <w:szCs w:val="24"/>
        </w:rPr>
        <w:t>Jacek Sacharczuk</w:t>
      </w:r>
    </w:p>
    <w:p w:rsidR="00305DB1" w:rsidRPr="00305DB1" w:rsidRDefault="00305DB1" w:rsidP="00305DB1">
      <w:pPr>
        <w:jc w:val="center"/>
        <w:rPr>
          <w:rFonts w:ascii="Arial" w:hAnsi="Arial" w:cs="Arial"/>
          <w:b/>
          <w:sz w:val="24"/>
          <w:szCs w:val="24"/>
        </w:rPr>
      </w:pPr>
      <w:r w:rsidRPr="00305DB1">
        <w:rPr>
          <w:rFonts w:ascii="Arial" w:hAnsi="Arial" w:cs="Arial"/>
          <w:b/>
          <w:sz w:val="24"/>
          <w:szCs w:val="24"/>
        </w:rPr>
        <w:t>Modelowanie  matematyczne instalacji słonecznej do  przygotowania  ciepłej  wody  użytkowej i  ogrzewania  powietrznego, z  akumulacją  ciepła</w:t>
      </w:r>
    </w:p>
    <w:p w:rsidR="001A1F5C" w:rsidRPr="00305DB1" w:rsidRDefault="001A1F5C" w:rsidP="00B6438F">
      <w:pPr>
        <w:spacing w:after="200" w:line="276" w:lineRule="auto"/>
        <w:rPr>
          <w:rFonts w:ascii="Arial" w:eastAsiaTheme="minorEastAsia" w:hAnsi="Arial" w:cs="Arial"/>
          <w:sz w:val="24"/>
          <w:szCs w:val="24"/>
          <w:lang w:bidi="en-US"/>
        </w:rPr>
      </w:pPr>
    </w:p>
    <w:p w:rsidR="008F6FF8" w:rsidRPr="00305DB1" w:rsidRDefault="008F6FF8" w:rsidP="008F6FF8">
      <w:pPr>
        <w:pStyle w:val="Nagwek1"/>
        <w:numPr>
          <w:ilvl w:val="0"/>
          <w:numId w:val="0"/>
        </w:numPr>
        <w:ind w:left="432" w:hanging="432"/>
        <w:rPr>
          <w:rFonts w:ascii="Arial" w:hAnsi="Arial" w:cs="Arial"/>
          <w:sz w:val="24"/>
          <w:szCs w:val="24"/>
          <w:lang w:val="pl-PL"/>
        </w:rPr>
      </w:pPr>
      <w:r w:rsidRPr="00305DB1">
        <w:rPr>
          <w:rFonts w:ascii="Arial" w:hAnsi="Arial" w:cs="Arial"/>
          <w:sz w:val="24"/>
          <w:szCs w:val="24"/>
          <w:lang w:val="pl-PL"/>
        </w:rPr>
        <w:t>Streszczenie</w:t>
      </w:r>
      <w:r w:rsidR="00305DB1" w:rsidRPr="00305DB1">
        <w:rPr>
          <w:rFonts w:ascii="Arial" w:hAnsi="Arial" w:cs="Arial"/>
          <w:sz w:val="24"/>
          <w:szCs w:val="24"/>
          <w:lang w:val="pl-PL"/>
        </w:rPr>
        <w:t xml:space="preserve"> pracy</w:t>
      </w:r>
    </w:p>
    <w:p w:rsidR="00305DB1" w:rsidRDefault="008F6FF8" w:rsidP="0069444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305DB1">
        <w:rPr>
          <w:rFonts w:ascii="Arial" w:hAnsi="Arial" w:cs="Arial"/>
          <w:sz w:val="24"/>
          <w:szCs w:val="24"/>
        </w:rPr>
        <w:t xml:space="preserve">Praca poświęcona jest zagadnieniu magazynowania energii cieplnej, pozyskiwanej przez kolektory słoneczne w buforowym zasobniku ciepła, wykonanym w postaci bloku betonowego, o strukturze kanałowej. Elementy kamienne lub betonowe, </w:t>
      </w:r>
      <w:r w:rsidR="00A12511">
        <w:rPr>
          <w:rFonts w:ascii="Arial" w:hAnsi="Arial" w:cs="Arial"/>
          <w:sz w:val="24"/>
          <w:szCs w:val="24"/>
        </w:rPr>
        <w:br/>
      </w:r>
      <w:r w:rsidRPr="00305DB1">
        <w:rPr>
          <w:rFonts w:ascii="Arial" w:hAnsi="Arial" w:cs="Arial"/>
          <w:sz w:val="24"/>
          <w:szCs w:val="24"/>
        </w:rPr>
        <w:t xml:space="preserve">ze względu na dużą gęstość materiału, jego dostępność i możliwość wykorzystania znacznych objętości stwarzają duże możliwości akumulacji energii i wyrównaną jej dystrybucję do celów ogrzewania obiektu. Największym problemem jest sposób optymalnego dla celów grzewczych dostarczania i odbierania zmagazynowanej energii cieplnej. W literaturze opisywane jest szereg rozwiązań technicznych </w:t>
      </w:r>
      <w:r w:rsidR="00305DB1">
        <w:rPr>
          <w:rFonts w:ascii="Arial" w:hAnsi="Arial" w:cs="Arial"/>
          <w:sz w:val="24"/>
          <w:szCs w:val="24"/>
        </w:rPr>
        <w:br/>
      </w:r>
      <w:r w:rsidRPr="00305DB1">
        <w:rPr>
          <w:rFonts w:ascii="Arial" w:hAnsi="Arial" w:cs="Arial"/>
          <w:sz w:val="24"/>
          <w:szCs w:val="24"/>
        </w:rPr>
        <w:t>w zakresie pozyskiwania</w:t>
      </w:r>
      <w:r w:rsidR="00305DB1" w:rsidRPr="00305DB1">
        <w:rPr>
          <w:rFonts w:ascii="Arial" w:hAnsi="Arial" w:cs="Arial"/>
          <w:sz w:val="24"/>
          <w:szCs w:val="24"/>
        </w:rPr>
        <w:t xml:space="preserve"> </w:t>
      </w:r>
      <w:r w:rsidRPr="00305DB1">
        <w:rPr>
          <w:rFonts w:ascii="Arial" w:hAnsi="Arial" w:cs="Arial"/>
          <w:sz w:val="24"/>
          <w:szCs w:val="24"/>
        </w:rPr>
        <w:t xml:space="preserve">i magazynowania energii słonecznej w elementach struktury budynku lub elementach o budowie kanałowej. W większości przypadków źródłem ciepła w takich systemach są słoneczne kolektory powietrzne (w tym również pełniące tę funkcję panele fotowoltaiczne). </w:t>
      </w:r>
    </w:p>
    <w:p w:rsidR="008F6FF8" w:rsidRPr="00305DB1" w:rsidRDefault="008F6FF8" w:rsidP="0069444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305DB1">
        <w:rPr>
          <w:rFonts w:ascii="Arial" w:hAnsi="Arial" w:cs="Arial"/>
          <w:sz w:val="24"/>
          <w:szCs w:val="24"/>
        </w:rPr>
        <w:t xml:space="preserve">W niniejszej pracy przeanalizowano działanie systemu, w którym energia słoneczna </w:t>
      </w:r>
      <w:r w:rsidRPr="00305DB1">
        <w:rPr>
          <w:rFonts w:ascii="Arial" w:hAnsi="Arial" w:cs="Arial"/>
          <w:color w:val="000000" w:themeColor="text1"/>
          <w:sz w:val="24"/>
          <w:szCs w:val="24"/>
        </w:rPr>
        <w:t>absorbowana j</w:t>
      </w:r>
      <w:r w:rsidRPr="00305DB1">
        <w:rPr>
          <w:rFonts w:ascii="Arial" w:hAnsi="Arial" w:cs="Arial"/>
          <w:sz w:val="24"/>
          <w:szCs w:val="24"/>
        </w:rPr>
        <w:t xml:space="preserve">est przez kolektory cieczowe, zasadnicze magazynowanie ciepła odbywa się w zasobniku wodnym, stanowiącym źródło ciepłej wody użytkowej, </w:t>
      </w:r>
      <w:r w:rsidR="00305DB1">
        <w:rPr>
          <w:rFonts w:ascii="Arial" w:hAnsi="Arial" w:cs="Arial"/>
          <w:sz w:val="24"/>
          <w:szCs w:val="24"/>
        </w:rPr>
        <w:br/>
      </w:r>
      <w:r w:rsidRPr="00305DB1">
        <w:rPr>
          <w:rFonts w:ascii="Arial" w:hAnsi="Arial" w:cs="Arial"/>
          <w:sz w:val="24"/>
          <w:szCs w:val="24"/>
        </w:rPr>
        <w:t>a nadwyżki ciepła przekazywane są do dodatkowego akumulatora betonowego wykorzystywanego do ogrzewania obiektu. System pozwala na pracę</w:t>
      </w:r>
      <w:r w:rsidR="0069444B" w:rsidRPr="00305DB1">
        <w:rPr>
          <w:rFonts w:ascii="Arial" w:hAnsi="Arial" w:cs="Arial"/>
          <w:sz w:val="24"/>
          <w:szCs w:val="24"/>
        </w:rPr>
        <w:t xml:space="preserve"> </w:t>
      </w:r>
      <w:r w:rsidRPr="00305DB1">
        <w:rPr>
          <w:rFonts w:ascii="Arial" w:hAnsi="Arial" w:cs="Arial"/>
          <w:sz w:val="24"/>
          <w:szCs w:val="24"/>
        </w:rPr>
        <w:t>w wyższych temperaturach, w porównaniu z systemami, w których wykorzystywane jest powietrze podgrzewane w kolektorach powietrznych, a więc ma większe możliwości akumulacji ciepła. System taki</w:t>
      </w:r>
      <w:r w:rsidR="00305DB1" w:rsidRPr="00305DB1">
        <w:rPr>
          <w:rFonts w:ascii="Arial" w:hAnsi="Arial" w:cs="Arial"/>
          <w:sz w:val="24"/>
          <w:szCs w:val="24"/>
        </w:rPr>
        <w:t xml:space="preserve"> </w:t>
      </w:r>
      <w:r w:rsidRPr="00305DB1">
        <w:rPr>
          <w:rFonts w:ascii="Arial" w:hAnsi="Arial" w:cs="Arial"/>
          <w:sz w:val="24"/>
          <w:szCs w:val="24"/>
        </w:rPr>
        <w:t>w szczególności nadaje się do pracy w warunkach klimatycznych, w których występują duże zasoby dostępnej energii słonecznej</w:t>
      </w:r>
      <w:r w:rsidR="0069444B" w:rsidRPr="00305DB1">
        <w:rPr>
          <w:rFonts w:ascii="Arial" w:hAnsi="Arial" w:cs="Arial"/>
          <w:sz w:val="24"/>
          <w:szCs w:val="24"/>
        </w:rPr>
        <w:t xml:space="preserve"> </w:t>
      </w:r>
      <w:r w:rsidRPr="00305DB1">
        <w:rPr>
          <w:rFonts w:ascii="Arial" w:hAnsi="Arial" w:cs="Arial"/>
          <w:sz w:val="24"/>
          <w:szCs w:val="24"/>
        </w:rPr>
        <w:t xml:space="preserve">i jednocześnie znaczne dobowe wahania temperatury. W warunkach polskich może sprawdzać się </w:t>
      </w:r>
      <w:r w:rsidR="00305DB1" w:rsidRPr="00305DB1">
        <w:rPr>
          <w:rFonts w:ascii="Arial" w:hAnsi="Arial" w:cs="Arial"/>
          <w:sz w:val="24"/>
          <w:szCs w:val="24"/>
        </w:rPr>
        <w:br/>
      </w:r>
      <w:r w:rsidRPr="00305DB1">
        <w:rPr>
          <w:rFonts w:ascii="Arial" w:hAnsi="Arial" w:cs="Arial"/>
          <w:sz w:val="24"/>
          <w:szCs w:val="24"/>
        </w:rPr>
        <w:t xml:space="preserve">w okresach przejściowych: wiosennym i jesiennym. </w:t>
      </w:r>
    </w:p>
    <w:p w:rsidR="008F6FF8" w:rsidRPr="00305DB1" w:rsidRDefault="008F6FF8" w:rsidP="0069444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305DB1">
        <w:rPr>
          <w:rFonts w:ascii="Arial" w:hAnsi="Arial" w:cs="Arial"/>
          <w:sz w:val="24"/>
          <w:szCs w:val="24"/>
        </w:rPr>
        <w:t>Ideą pracy było stworzenie prostego modelu matematycznego, nadającego się do prowadzenia ciągłych symulacji pracy systemu, a w szczególności procesów ładowania</w:t>
      </w:r>
      <w:r w:rsidR="0069444B" w:rsidRPr="00305DB1">
        <w:rPr>
          <w:rFonts w:ascii="Arial" w:hAnsi="Arial" w:cs="Arial"/>
          <w:sz w:val="24"/>
          <w:szCs w:val="24"/>
        </w:rPr>
        <w:t xml:space="preserve"> </w:t>
      </w:r>
      <w:r w:rsidR="00305DB1" w:rsidRPr="00305DB1">
        <w:rPr>
          <w:rFonts w:ascii="Arial" w:hAnsi="Arial" w:cs="Arial"/>
          <w:sz w:val="24"/>
          <w:szCs w:val="24"/>
        </w:rPr>
        <w:br/>
      </w:r>
      <w:r w:rsidRPr="00305DB1">
        <w:rPr>
          <w:rFonts w:ascii="Arial" w:hAnsi="Arial" w:cs="Arial"/>
          <w:sz w:val="24"/>
          <w:szCs w:val="24"/>
        </w:rPr>
        <w:t>i dynamicznego rozładowywania akumulatora betonowego o strukturze kanałowej. Biorąc pod uwagę konieczność wykonania weryfikacji doświadczalnej modelu, sporządzono go dla akumulatora wykonanego</w:t>
      </w:r>
      <w:r w:rsidR="00305DB1" w:rsidRPr="00305DB1">
        <w:rPr>
          <w:rFonts w:ascii="Arial" w:hAnsi="Arial" w:cs="Arial"/>
          <w:sz w:val="24"/>
          <w:szCs w:val="24"/>
        </w:rPr>
        <w:t xml:space="preserve"> </w:t>
      </w:r>
      <w:r w:rsidRPr="00305DB1">
        <w:rPr>
          <w:rFonts w:ascii="Arial" w:hAnsi="Arial" w:cs="Arial"/>
          <w:sz w:val="24"/>
          <w:szCs w:val="24"/>
        </w:rPr>
        <w:t>z dostępnych na rynku kształtek akumulacyjnych,</w:t>
      </w:r>
      <w:r w:rsidR="0069444B" w:rsidRPr="00305DB1">
        <w:rPr>
          <w:rFonts w:ascii="Arial" w:hAnsi="Arial" w:cs="Arial"/>
          <w:sz w:val="24"/>
          <w:szCs w:val="24"/>
        </w:rPr>
        <w:t xml:space="preserve"> </w:t>
      </w:r>
      <w:r w:rsidRPr="00305DB1">
        <w:rPr>
          <w:rFonts w:ascii="Arial" w:hAnsi="Arial" w:cs="Arial"/>
          <w:sz w:val="24"/>
          <w:szCs w:val="24"/>
        </w:rPr>
        <w:t>z których możliwe jest tworzenie struktur kanałowych, nadających się do zabudowania, jako fragmenty ścian wewnętrznych, przestrzeni podpodłogowych lub wypełnionych przestrzeni nieużytkowych budynków. Kształtki takie umożliwiły wykonanie struktury dwukanałowej</w:t>
      </w:r>
      <w:r w:rsidR="00305DB1">
        <w:rPr>
          <w:rFonts w:ascii="Arial" w:hAnsi="Arial" w:cs="Arial"/>
          <w:sz w:val="24"/>
          <w:szCs w:val="24"/>
        </w:rPr>
        <w:t xml:space="preserve"> </w:t>
      </w:r>
      <w:r w:rsidRPr="00305DB1">
        <w:rPr>
          <w:rFonts w:ascii="Arial" w:hAnsi="Arial" w:cs="Arial"/>
          <w:sz w:val="24"/>
          <w:szCs w:val="24"/>
        </w:rPr>
        <w:t>o wymiarach 2,24mx0,56mx0,28m. Średnica hydrauliczna pojedynczego kanału jest równa 177,9mm.</w:t>
      </w:r>
    </w:p>
    <w:p w:rsidR="008F6FF8" w:rsidRPr="00305DB1" w:rsidRDefault="008F6FF8" w:rsidP="0069444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305DB1">
        <w:rPr>
          <w:rFonts w:ascii="Arial" w:hAnsi="Arial" w:cs="Arial"/>
          <w:sz w:val="24"/>
          <w:szCs w:val="24"/>
        </w:rPr>
        <w:lastRenderedPageBreak/>
        <w:t>Model nieustalonego przewodzenia ciepła w strukturze akumulatora, zbudowano</w:t>
      </w:r>
      <w:r w:rsidR="0069444B" w:rsidRPr="00305DB1">
        <w:rPr>
          <w:rFonts w:ascii="Arial" w:hAnsi="Arial" w:cs="Arial"/>
          <w:sz w:val="24"/>
          <w:szCs w:val="24"/>
        </w:rPr>
        <w:t xml:space="preserve"> </w:t>
      </w:r>
      <w:r w:rsidR="00305DB1">
        <w:rPr>
          <w:rFonts w:ascii="Arial" w:hAnsi="Arial" w:cs="Arial"/>
          <w:sz w:val="24"/>
          <w:szCs w:val="24"/>
        </w:rPr>
        <w:br/>
      </w:r>
      <w:r w:rsidRPr="00305DB1">
        <w:rPr>
          <w:rFonts w:ascii="Arial" w:hAnsi="Arial" w:cs="Arial"/>
          <w:sz w:val="24"/>
          <w:szCs w:val="24"/>
        </w:rPr>
        <w:t>w oparciu</w:t>
      </w:r>
      <w:r w:rsidR="00305DB1">
        <w:rPr>
          <w:rFonts w:ascii="Arial" w:hAnsi="Arial" w:cs="Arial"/>
          <w:sz w:val="24"/>
          <w:szCs w:val="24"/>
        </w:rPr>
        <w:t xml:space="preserve"> </w:t>
      </w:r>
      <w:r w:rsidRPr="00305DB1">
        <w:rPr>
          <w:rFonts w:ascii="Arial" w:hAnsi="Arial" w:cs="Arial"/>
          <w:sz w:val="24"/>
          <w:szCs w:val="24"/>
        </w:rPr>
        <w:t xml:space="preserve">o bilansową metodę elementów skończonych BMES. Metoda ta pozwala na modelowanie nieustalonego przewodzenia ciepła w ciałach stałych, przy użyciu stosunkowo prostego modelu numerycznego, możliwego do rozwiązania przy pomocy autorskiego programu obliczeniowego, przy relatywnie krótkim czasie obliczeń.  Model zbudowano w oparciu </w:t>
      </w:r>
      <w:r w:rsidR="00305DB1">
        <w:rPr>
          <w:rFonts w:ascii="Arial" w:hAnsi="Arial" w:cs="Arial"/>
          <w:sz w:val="24"/>
          <w:szCs w:val="24"/>
        </w:rPr>
        <w:t xml:space="preserve"> </w:t>
      </w:r>
      <w:r w:rsidRPr="00305DB1">
        <w:rPr>
          <w:rFonts w:ascii="Arial" w:hAnsi="Arial" w:cs="Arial"/>
          <w:sz w:val="24"/>
          <w:szCs w:val="24"/>
        </w:rPr>
        <w:t>o następujące założenia:</w:t>
      </w:r>
    </w:p>
    <w:p w:rsidR="008F6FF8" w:rsidRPr="00305DB1" w:rsidRDefault="008F6FF8" w:rsidP="008F6FF8">
      <w:pPr>
        <w:pStyle w:val="Akapitzlist"/>
        <w:numPr>
          <w:ilvl w:val="0"/>
          <w:numId w:val="1"/>
        </w:numPr>
        <w:spacing w:before="0" w:after="200" w:line="276" w:lineRule="auto"/>
        <w:rPr>
          <w:rFonts w:ascii="Arial" w:hAnsi="Arial" w:cs="Arial"/>
          <w:color w:val="000000" w:themeColor="text1"/>
          <w:lang w:val="pl-PL"/>
        </w:rPr>
      </w:pPr>
      <w:r w:rsidRPr="00305DB1">
        <w:rPr>
          <w:rFonts w:ascii="Arial" w:hAnsi="Arial" w:cs="Arial"/>
          <w:color w:val="000000" w:themeColor="text1"/>
          <w:lang w:val="pl-PL"/>
        </w:rPr>
        <w:t xml:space="preserve">akumulator zbudowany jest z dwóch ciągów złożonych z 8 segmentów każdy, tworzących strukturą kanałową o przekroju charakteryzującym się podwójną symetrią; </w:t>
      </w:r>
    </w:p>
    <w:p w:rsidR="008F6FF8" w:rsidRPr="00305DB1" w:rsidRDefault="008F6FF8" w:rsidP="008F6FF8">
      <w:pPr>
        <w:pStyle w:val="Akapitzlist"/>
        <w:numPr>
          <w:ilvl w:val="0"/>
          <w:numId w:val="1"/>
        </w:numPr>
        <w:spacing w:before="0" w:after="200" w:line="276" w:lineRule="auto"/>
        <w:rPr>
          <w:rFonts w:ascii="Arial" w:hAnsi="Arial" w:cs="Arial"/>
          <w:color w:val="000000" w:themeColor="text1"/>
          <w:lang w:val="pl-PL"/>
        </w:rPr>
      </w:pPr>
      <w:r w:rsidRPr="00305DB1">
        <w:rPr>
          <w:rFonts w:ascii="Arial" w:hAnsi="Arial" w:cs="Arial"/>
          <w:color w:val="000000" w:themeColor="text1"/>
          <w:lang w:val="pl-PL"/>
        </w:rPr>
        <w:t>wynikający z symetrii przekroju powtarzalny element stanowi 1/8 przekroju kształtki akumulacyjnej;</w:t>
      </w:r>
    </w:p>
    <w:p w:rsidR="008F6FF8" w:rsidRPr="00305DB1" w:rsidRDefault="008F6FF8" w:rsidP="008F6FF8">
      <w:pPr>
        <w:pStyle w:val="Akapitzlist"/>
        <w:numPr>
          <w:ilvl w:val="0"/>
          <w:numId w:val="1"/>
        </w:numPr>
        <w:spacing w:before="0" w:after="200" w:line="276" w:lineRule="auto"/>
        <w:rPr>
          <w:rFonts w:ascii="Arial" w:hAnsi="Arial" w:cs="Arial"/>
          <w:color w:val="000000" w:themeColor="text1"/>
          <w:lang w:val="pl-PL"/>
        </w:rPr>
      </w:pPr>
      <w:r w:rsidRPr="00305DB1">
        <w:rPr>
          <w:rFonts w:ascii="Arial" w:hAnsi="Arial" w:cs="Arial"/>
          <w:color w:val="000000" w:themeColor="text1"/>
          <w:lang w:val="pl-PL"/>
        </w:rPr>
        <w:t>właściwości cieplne materiału akumulacyjnego w przyjętych warunkach pracy (pojemność cieplna właściwa i współczynnik przewodzenia ciepła) nie zależą od temperatury ani kierunku;</w:t>
      </w:r>
    </w:p>
    <w:p w:rsidR="008F6FF8" w:rsidRPr="00305DB1" w:rsidRDefault="008F6FF8" w:rsidP="008F6FF8">
      <w:pPr>
        <w:pStyle w:val="Akapitzlist"/>
        <w:numPr>
          <w:ilvl w:val="0"/>
          <w:numId w:val="1"/>
        </w:numPr>
        <w:spacing w:before="0" w:after="200" w:line="276" w:lineRule="auto"/>
        <w:rPr>
          <w:rFonts w:ascii="Arial" w:hAnsi="Arial" w:cs="Arial"/>
          <w:color w:val="000000" w:themeColor="text1"/>
          <w:lang w:val="pl-PL"/>
        </w:rPr>
      </w:pPr>
      <w:r w:rsidRPr="00305DB1">
        <w:rPr>
          <w:rFonts w:ascii="Arial" w:hAnsi="Arial" w:cs="Arial"/>
          <w:color w:val="000000" w:themeColor="text1"/>
          <w:lang w:val="pl-PL"/>
        </w:rPr>
        <w:t xml:space="preserve">brak gradientu temperatury w kierunku prostopadłym do osi symetrii przekroju; </w:t>
      </w:r>
    </w:p>
    <w:p w:rsidR="008F6FF8" w:rsidRPr="00305DB1" w:rsidRDefault="008F6FF8" w:rsidP="008F6FF8">
      <w:pPr>
        <w:pStyle w:val="Akapitzlist"/>
        <w:numPr>
          <w:ilvl w:val="0"/>
          <w:numId w:val="1"/>
        </w:numPr>
        <w:spacing w:before="0" w:after="200" w:line="276" w:lineRule="auto"/>
        <w:rPr>
          <w:rFonts w:ascii="Arial" w:hAnsi="Arial" w:cs="Arial"/>
          <w:color w:val="000000" w:themeColor="text1"/>
          <w:lang w:val="pl-PL"/>
        </w:rPr>
      </w:pPr>
      <w:r w:rsidRPr="00305DB1">
        <w:rPr>
          <w:rFonts w:ascii="Arial" w:hAnsi="Arial" w:cs="Arial"/>
          <w:color w:val="000000" w:themeColor="text1"/>
          <w:lang w:val="pl-PL"/>
        </w:rPr>
        <w:t xml:space="preserve">współczynnik wnikania ciepła, występujący w warunku brzegowym zadanym na wewnętrznej powierzchni kanału powietrznego, obliczany jest przy użyciu zmodyfikowanej korelacji </w:t>
      </w:r>
      <w:proofErr w:type="spellStart"/>
      <w:r w:rsidRPr="00305DB1">
        <w:rPr>
          <w:rFonts w:ascii="Arial" w:hAnsi="Arial" w:cs="Arial"/>
          <w:color w:val="000000" w:themeColor="text1"/>
          <w:lang w:val="pl-PL"/>
        </w:rPr>
        <w:t>Gnielińskiego</w:t>
      </w:r>
      <w:proofErr w:type="spellEnd"/>
      <w:r w:rsidRPr="00305DB1">
        <w:rPr>
          <w:rFonts w:ascii="Arial" w:hAnsi="Arial" w:cs="Arial"/>
          <w:color w:val="000000" w:themeColor="text1"/>
          <w:lang w:val="pl-PL"/>
        </w:rPr>
        <w:t>;</w:t>
      </w:r>
    </w:p>
    <w:p w:rsidR="008F6FF8" w:rsidRPr="00305DB1" w:rsidRDefault="008F6FF8" w:rsidP="008F6FF8">
      <w:pPr>
        <w:pStyle w:val="Akapitzlist"/>
        <w:numPr>
          <w:ilvl w:val="0"/>
          <w:numId w:val="1"/>
        </w:numPr>
        <w:spacing w:before="0" w:after="200" w:line="276" w:lineRule="auto"/>
        <w:rPr>
          <w:rFonts w:ascii="Arial" w:hAnsi="Arial" w:cs="Arial"/>
          <w:color w:val="000000" w:themeColor="text1"/>
          <w:lang w:val="pl-PL"/>
        </w:rPr>
      </w:pPr>
      <w:r w:rsidRPr="00305DB1">
        <w:rPr>
          <w:rFonts w:ascii="Arial" w:hAnsi="Arial" w:cs="Arial"/>
          <w:color w:val="000000" w:themeColor="text1"/>
          <w:lang w:val="pl-PL"/>
        </w:rPr>
        <w:t xml:space="preserve"> na zewnętrznej powierzchni segmentów akumulacyjnych, od strony izolacji zadany jest warunek brzegowy II rodzaju, a gęstość strumienia ciepła przepływającego do izolacji wyznaczana jest na podstawie pomiaru;</w:t>
      </w:r>
    </w:p>
    <w:p w:rsidR="008F6FF8" w:rsidRPr="00305DB1" w:rsidRDefault="008F6FF8" w:rsidP="008F6FF8">
      <w:pPr>
        <w:pStyle w:val="Akapitzlist"/>
        <w:numPr>
          <w:ilvl w:val="0"/>
          <w:numId w:val="1"/>
        </w:numPr>
        <w:spacing w:before="0" w:after="200" w:line="276" w:lineRule="auto"/>
        <w:rPr>
          <w:rFonts w:ascii="Arial" w:hAnsi="Arial" w:cs="Arial"/>
          <w:color w:val="000000" w:themeColor="text1"/>
          <w:lang w:val="pl-PL"/>
        </w:rPr>
      </w:pPr>
      <w:r w:rsidRPr="00305DB1">
        <w:rPr>
          <w:rFonts w:ascii="Arial" w:hAnsi="Arial" w:cs="Arial"/>
          <w:color w:val="000000" w:themeColor="text1"/>
          <w:lang w:val="pl-PL"/>
        </w:rPr>
        <w:t>bilans energii dla przepływającego w kanale powietrza uwzględnia jego pojemność cieplną;</w:t>
      </w:r>
    </w:p>
    <w:p w:rsidR="008F6FF8" w:rsidRPr="00305DB1" w:rsidRDefault="008F6FF8" w:rsidP="008F6FF8">
      <w:pPr>
        <w:pStyle w:val="Akapitzlist"/>
        <w:numPr>
          <w:ilvl w:val="0"/>
          <w:numId w:val="1"/>
        </w:numPr>
        <w:spacing w:before="0" w:after="200" w:line="276" w:lineRule="auto"/>
        <w:rPr>
          <w:rFonts w:ascii="Arial" w:hAnsi="Arial" w:cs="Arial"/>
          <w:color w:val="000000" w:themeColor="text1"/>
          <w:lang w:val="pl-PL"/>
        </w:rPr>
      </w:pPr>
      <w:r w:rsidRPr="00305DB1">
        <w:rPr>
          <w:rFonts w:ascii="Arial" w:hAnsi="Arial" w:cs="Arial"/>
          <w:color w:val="000000" w:themeColor="text1"/>
          <w:lang w:val="pl-PL"/>
        </w:rPr>
        <w:t>temperatura powietrza zmienia się w kierunku jego przepływu, a w danym przekroju poprzecznym jest stała;</w:t>
      </w:r>
    </w:p>
    <w:p w:rsidR="008F6FF8" w:rsidRPr="00305DB1" w:rsidRDefault="008F6FF8" w:rsidP="008F6FF8">
      <w:pPr>
        <w:pStyle w:val="Akapitzlist"/>
        <w:numPr>
          <w:ilvl w:val="0"/>
          <w:numId w:val="1"/>
        </w:numPr>
        <w:spacing w:before="0" w:after="200" w:line="276" w:lineRule="auto"/>
        <w:rPr>
          <w:rFonts w:ascii="Arial" w:hAnsi="Arial" w:cs="Arial"/>
          <w:color w:val="000000" w:themeColor="text1"/>
          <w:lang w:val="pl-PL"/>
        </w:rPr>
      </w:pPr>
      <w:r w:rsidRPr="00305DB1">
        <w:rPr>
          <w:rFonts w:ascii="Arial" w:hAnsi="Arial" w:cs="Arial"/>
          <w:color w:val="000000" w:themeColor="text1"/>
          <w:lang w:val="pl-PL"/>
        </w:rPr>
        <w:t xml:space="preserve">temperatura wlotowa powietrza do akumulatora wyznaczana jest przy pomocy      oddzielnego modułu obliczeniowego, zawierającego numeryczny model  wymiennika ciepła woda-powietrze. </w:t>
      </w:r>
    </w:p>
    <w:p w:rsidR="008F6FF8" w:rsidRPr="00305DB1" w:rsidRDefault="008F6FF8" w:rsidP="0069444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305DB1">
        <w:rPr>
          <w:rFonts w:ascii="Arial" w:hAnsi="Arial" w:cs="Arial"/>
          <w:sz w:val="24"/>
          <w:szCs w:val="24"/>
        </w:rPr>
        <w:t>W opracowanym programie obliczeniowym, napisanym w języku FORTRAN, możliwe jest prowadzenie symulacji działania instalacji złożonej ze źródła ciepła, wymiennika woda-powietrze oraz akumulatora betonowego. Jako źródło ciepła może być zdefiniowana instalacja solarna (uproszczony model zakładający bezpośredni obieg wodny, pełne wymieszanie wody w zasobniku oraz brak strat ciepła z układu rurociągów), pracująca</w:t>
      </w:r>
      <w:r w:rsidR="00305DB1">
        <w:rPr>
          <w:rFonts w:ascii="Arial" w:hAnsi="Arial" w:cs="Arial"/>
          <w:sz w:val="24"/>
          <w:szCs w:val="24"/>
        </w:rPr>
        <w:t xml:space="preserve"> </w:t>
      </w:r>
      <w:r w:rsidRPr="00305DB1">
        <w:rPr>
          <w:rFonts w:ascii="Arial" w:hAnsi="Arial" w:cs="Arial"/>
          <w:sz w:val="24"/>
          <w:szCs w:val="24"/>
        </w:rPr>
        <w:t>w warunkach meteorologicznych określanych na podstawie danych typowego roku meteorologicznego lub źródło ze zmieniającą się w czasie temperaturą zasilania.</w:t>
      </w:r>
      <w:r w:rsidR="00305DB1">
        <w:rPr>
          <w:rFonts w:ascii="Arial" w:hAnsi="Arial" w:cs="Arial"/>
          <w:sz w:val="24"/>
          <w:szCs w:val="24"/>
        </w:rPr>
        <w:t xml:space="preserve"> </w:t>
      </w:r>
      <w:r w:rsidRPr="00305DB1">
        <w:rPr>
          <w:rFonts w:ascii="Arial" w:hAnsi="Arial" w:cs="Arial"/>
          <w:sz w:val="24"/>
          <w:szCs w:val="24"/>
        </w:rPr>
        <w:t xml:space="preserve">W programie wykorzystano model obliczeniowy wymiennika </w:t>
      </w:r>
      <w:proofErr w:type="spellStart"/>
      <w:r w:rsidRPr="00305DB1">
        <w:rPr>
          <w:rFonts w:ascii="Arial" w:hAnsi="Arial" w:cs="Arial"/>
          <w:sz w:val="24"/>
          <w:szCs w:val="24"/>
        </w:rPr>
        <w:t>lamelowego</w:t>
      </w:r>
      <w:proofErr w:type="spellEnd"/>
      <w:r w:rsidRPr="00305DB1">
        <w:rPr>
          <w:rFonts w:ascii="Arial" w:hAnsi="Arial" w:cs="Arial"/>
          <w:sz w:val="24"/>
          <w:szCs w:val="24"/>
        </w:rPr>
        <w:t xml:space="preserve"> autorstwa D. </w:t>
      </w:r>
      <w:proofErr w:type="spellStart"/>
      <w:r w:rsidRPr="00305DB1">
        <w:rPr>
          <w:rFonts w:ascii="Arial" w:hAnsi="Arial" w:cs="Arial"/>
          <w:sz w:val="24"/>
          <w:szCs w:val="24"/>
        </w:rPr>
        <w:t>Talera</w:t>
      </w:r>
      <w:proofErr w:type="spellEnd"/>
      <w:r w:rsidRPr="00305DB1">
        <w:rPr>
          <w:rFonts w:ascii="Arial" w:hAnsi="Arial" w:cs="Arial"/>
          <w:sz w:val="24"/>
          <w:szCs w:val="24"/>
        </w:rPr>
        <w:t xml:space="preserve"> po modyfikacjach, dostosowujących go do zastosowanej na stanowisku doświadczalnym konstrukcji wymiennika oraz uwzględnieniu przepływów wody grzewczej,</w:t>
      </w:r>
      <w:r w:rsidR="00305DB1">
        <w:rPr>
          <w:rFonts w:ascii="Arial" w:hAnsi="Arial" w:cs="Arial"/>
          <w:sz w:val="24"/>
          <w:szCs w:val="24"/>
        </w:rPr>
        <w:t xml:space="preserve"> </w:t>
      </w:r>
      <w:r w:rsidRPr="00305DB1">
        <w:rPr>
          <w:rFonts w:ascii="Arial" w:hAnsi="Arial" w:cs="Arial"/>
          <w:sz w:val="24"/>
          <w:szCs w:val="24"/>
        </w:rPr>
        <w:t xml:space="preserve">w zakresie ruchu </w:t>
      </w:r>
      <w:r w:rsidRPr="00305DB1">
        <w:rPr>
          <w:rFonts w:ascii="Arial" w:hAnsi="Arial" w:cs="Arial"/>
          <w:color w:val="000000" w:themeColor="text1"/>
          <w:sz w:val="24"/>
          <w:szCs w:val="24"/>
        </w:rPr>
        <w:t xml:space="preserve">laminarnego </w:t>
      </w:r>
      <w:r w:rsidR="00305DB1">
        <w:rPr>
          <w:rFonts w:ascii="Arial" w:hAnsi="Arial" w:cs="Arial"/>
          <w:color w:val="000000" w:themeColor="text1"/>
          <w:sz w:val="24"/>
          <w:szCs w:val="24"/>
        </w:rPr>
        <w:br/>
      </w:r>
      <w:r w:rsidRPr="00305DB1">
        <w:rPr>
          <w:rFonts w:ascii="Arial" w:hAnsi="Arial" w:cs="Arial"/>
          <w:color w:val="000000" w:themeColor="text1"/>
          <w:sz w:val="24"/>
          <w:szCs w:val="24"/>
        </w:rPr>
        <w:t>i przejściowego</w:t>
      </w:r>
      <w:r w:rsidRPr="00305DB1">
        <w:rPr>
          <w:rFonts w:ascii="Arial" w:hAnsi="Arial" w:cs="Arial"/>
          <w:sz w:val="24"/>
          <w:szCs w:val="24"/>
        </w:rPr>
        <w:t xml:space="preserve">, których pierwotny model nie obejmował. </w:t>
      </w:r>
    </w:p>
    <w:p w:rsidR="008F6FF8" w:rsidRPr="00305DB1" w:rsidRDefault="008F6FF8" w:rsidP="0069444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305DB1">
        <w:rPr>
          <w:rFonts w:ascii="Arial" w:hAnsi="Arial" w:cs="Arial"/>
          <w:sz w:val="24"/>
          <w:szCs w:val="24"/>
        </w:rPr>
        <w:lastRenderedPageBreak/>
        <w:t xml:space="preserve">W pracy przedstawiono kilka przykładowych przebiegów ładowania i rozładowywania </w:t>
      </w:r>
      <w:r w:rsidRPr="00305DB1">
        <w:rPr>
          <w:rFonts w:ascii="Arial" w:hAnsi="Arial" w:cs="Arial"/>
          <w:color w:val="000000" w:themeColor="text1"/>
          <w:sz w:val="24"/>
          <w:szCs w:val="24"/>
        </w:rPr>
        <w:t>akumulatora, które posłużyły do weryfikacji doświadczalnej</w:t>
      </w:r>
      <w:r w:rsidRPr="00305DB1">
        <w:rPr>
          <w:rFonts w:ascii="Arial" w:hAnsi="Arial" w:cs="Arial"/>
          <w:color w:val="FF0000"/>
          <w:sz w:val="24"/>
          <w:szCs w:val="24"/>
        </w:rPr>
        <w:t xml:space="preserve"> </w:t>
      </w:r>
      <w:r w:rsidRPr="00305DB1">
        <w:rPr>
          <w:rFonts w:ascii="Arial" w:hAnsi="Arial" w:cs="Arial"/>
          <w:sz w:val="24"/>
          <w:szCs w:val="24"/>
        </w:rPr>
        <w:t>zbudowanego modelu matematycznego, na podstawie pomiarów wykonanych na stanowisku laboratoryjnym.</w:t>
      </w:r>
      <w:r w:rsidR="0069444B" w:rsidRPr="00305DB1">
        <w:rPr>
          <w:rFonts w:ascii="Arial" w:hAnsi="Arial" w:cs="Arial"/>
          <w:sz w:val="24"/>
          <w:szCs w:val="24"/>
        </w:rPr>
        <w:t xml:space="preserve"> </w:t>
      </w:r>
      <w:r w:rsidR="00305DB1" w:rsidRPr="00305DB1">
        <w:rPr>
          <w:rFonts w:ascii="Arial" w:hAnsi="Arial" w:cs="Arial"/>
          <w:sz w:val="24"/>
          <w:szCs w:val="24"/>
        </w:rPr>
        <w:br/>
      </w:r>
      <w:r w:rsidRPr="00305DB1">
        <w:rPr>
          <w:rFonts w:ascii="Arial" w:hAnsi="Arial" w:cs="Arial"/>
          <w:sz w:val="24"/>
          <w:szCs w:val="24"/>
        </w:rPr>
        <w:t>W skład stanowiska wykonanego</w:t>
      </w:r>
      <w:r w:rsidR="00305DB1" w:rsidRPr="00305DB1">
        <w:rPr>
          <w:rFonts w:ascii="Arial" w:hAnsi="Arial" w:cs="Arial"/>
          <w:sz w:val="24"/>
          <w:szCs w:val="24"/>
        </w:rPr>
        <w:t xml:space="preserve"> </w:t>
      </w:r>
      <w:r w:rsidRPr="00305DB1">
        <w:rPr>
          <w:rFonts w:ascii="Arial" w:hAnsi="Arial" w:cs="Arial"/>
          <w:sz w:val="24"/>
          <w:szCs w:val="24"/>
        </w:rPr>
        <w:t xml:space="preserve">w laboratorium Instytutu Inżynierii Cieplnej </w:t>
      </w:r>
      <w:r w:rsidR="002330E3">
        <w:rPr>
          <w:rFonts w:ascii="Arial" w:hAnsi="Arial" w:cs="Arial"/>
          <w:sz w:val="24"/>
          <w:szCs w:val="24"/>
        </w:rPr>
        <w:br/>
      </w:r>
      <w:r w:rsidRPr="00305DB1">
        <w:rPr>
          <w:rFonts w:ascii="Arial" w:hAnsi="Arial" w:cs="Arial"/>
          <w:sz w:val="24"/>
          <w:szCs w:val="24"/>
        </w:rPr>
        <w:t>i Ochrony Powietrza Politechniki Krakowskiej wchodziły: betonowy akumulator wykonany</w:t>
      </w:r>
      <w:r w:rsidR="0069444B" w:rsidRPr="00305DB1">
        <w:rPr>
          <w:rFonts w:ascii="Arial" w:hAnsi="Arial" w:cs="Arial"/>
          <w:sz w:val="24"/>
          <w:szCs w:val="24"/>
        </w:rPr>
        <w:t xml:space="preserve"> </w:t>
      </w:r>
      <w:r w:rsidRPr="00305DB1">
        <w:rPr>
          <w:rFonts w:ascii="Arial" w:hAnsi="Arial" w:cs="Arial"/>
          <w:sz w:val="24"/>
          <w:szCs w:val="24"/>
        </w:rPr>
        <w:t>z 16 modułów CMA, ułożonych w dwóch równoległych ciągach,</w:t>
      </w:r>
      <w:r w:rsidR="00305DB1" w:rsidRPr="00305DB1">
        <w:rPr>
          <w:rFonts w:ascii="Arial" w:hAnsi="Arial" w:cs="Arial"/>
          <w:sz w:val="24"/>
          <w:szCs w:val="24"/>
        </w:rPr>
        <w:t xml:space="preserve"> </w:t>
      </w:r>
      <w:r w:rsidR="002330E3">
        <w:rPr>
          <w:rFonts w:ascii="Arial" w:hAnsi="Arial" w:cs="Arial"/>
          <w:sz w:val="24"/>
          <w:szCs w:val="24"/>
        </w:rPr>
        <w:br/>
      </w:r>
      <w:r w:rsidRPr="00305DB1">
        <w:rPr>
          <w:rFonts w:ascii="Arial" w:hAnsi="Arial" w:cs="Arial"/>
          <w:sz w:val="24"/>
          <w:szCs w:val="24"/>
        </w:rPr>
        <w:t xml:space="preserve">w izolowanej obudowie oraz układ przewodów zapewniających obieg powietrza, które ogrzewane było wymiennikiem </w:t>
      </w:r>
      <w:proofErr w:type="spellStart"/>
      <w:r w:rsidRPr="00305DB1">
        <w:rPr>
          <w:rFonts w:ascii="Arial" w:hAnsi="Arial" w:cs="Arial"/>
          <w:sz w:val="24"/>
          <w:szCs w:val="24"/>
        </w:rPr>
        <w:t>lamelowym</w:t>
      </w:r>
      <w:proofErr w:type="spellEnd"/>
      <w:r w:rsidRPr="00305DB1">
        <w:rPr>
          <w:rFonts w:ascii="Arial" w:hAnsi="Arial" w:cs="Arial"/>
          <w:sz w:val="24"/>
          <w:szCs w:val="24"/>
        </w:rPr>
        <w:t xml:space="preserve">. Wymiennik </w:t>
      </w:r>
      <w:proofErr w:type="spellStart"/>
      <w:r w:rsidRPr="00305DB1">
        <w:rPr>
          <w:rFonts w:ascii="Arial" w:hAnsi="Arial" w:cs="Arial"/>
          <w:sz w:val="24"/>
          <w:szCs w:val="24"/>
        </w:rPr>
        <w:t>lamelowy</w:t>
      </w:r>
      <w:proofErr w:type="spellEnd"/>
      <w:r w:rsidRPr="00305DB1">
        <w:rPr>
          <w:rFonts w:ascii="Arial" w:hAnsi="Arial" w:cs="Arial"/>
          <w:sz w:val="24"/>
          <w:szCs w:val="24"/>
        </w:rPr>
        <w:t xml:space="preserve"> zasilany był wodą grzewczą</w:t>
      </w:r>
      <w:r w:rsidR="0069444B" w:rsidRPr="00305DB1">
        <w:rPr>
          <w:rFonts w:ascii="Arial" w:hAnsi="Arial" w:cs="Arial"/>
          <w:sz w:val="24"/>
          <w:szCs w:val="24"/>
        </w:rPr>
        <w:t xml:space="preserve"> </w:t>
      </w:r>
      <w:r w:rsidRPr="00305DB1">
        <w:rPr>
          <w:rFonts w:ascii="Arial" w:hAnsi="Arial" w:cs="Arial"/>
          <w:sz w:val="24"/>
          <w:szCs w:val="24"/>
        </w:rPr>
        <w:t>z zasobnika</w:t>
      </w:r>
      <w:r w:rsidR="002330E3">
        <w:rPr>
          <w:rFonts w:ascii="Arial" w:hAnsi="Arial" w:cs="Arial"/>
          <w:sz w:val="24"/>
          <w:szCs w:val="24"/>
        </w:rPr>
        <w:t xml:space="preserve"> </w:t>
      </w:r>
      <w:r w:rsidRPr="00305DB1">
        <w:rPr>
          <w:rFonts w:ascii="Arial" w:hAnsi="Arial" w:cs="Arial"/>
          <w:sz w:val="24"/>
          <w:szCs w:val="24"/>
        </w:rPr>
        <w:t>o pojemności 200dm</w:t>
      </w:r>
      <w:r w:rsidRPr="00305DB1">
        <w:rPr>
          <w:rFonts w:ascii="Arial" w:hAnsi="Arial" w:cs="Arial"/>
          <w:sz w:val="24"/>
          <w:szCs w:val="24"/>
          <w:vertAlign w:val="superscript"/>
        </w:rPr>
        <w:t>3</w:t>
      </w:r>
      <w:r w:rsidRPr="00305DB1">
        <w:rPr>
          <w:rFonts w:ascii="Arial" w:hAnsi="Arial" w:cs="Arial"/>
          <w:sz w:val="24"/>
          <w:szCs w:val="24"/>
        </w:rPr>
        <w:t>, ogrzewanego kotłem gazowym oraz grzałką elektryczną,</w:t>
      </w:r>
      <w:r w:rsidR="002330E3">
        <w:rPr>
          <w:rFonts w:ascii="Arial" w:hAnsi="Arial" w:cs="Arial"/>
          <w:sz w:val="24"/>
          <w:szCs w:val="24"/>
        </w:rPr>
        <w:t xml:space="preserve"> </w:t>
      </w:r>
      <w:r w:rsidRPr="00305DB1">
        <w:rPr>
          <w:rFonts w:ascii="Arial" w:hAnsi="Arial" w:cs="Arial"/>
          <w:sz w:val="24"/>
          <w:szCs w:val="24"/>
        </w:rPr>
        <w:t xml:space="preserve">z możliwością połączenia z kolektorem słonecznym. </w:t>
      </w:r>
    </w:p>
    <w:p w:rsidR="008F6FF8" w:rsidRPr="00305DB1" w:rsidRDefault="008F6FF8" w:rsidP="0069444B">
      <w:p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05DB1">
        <w:rPr>
          <w:rFonts w:ascii="Arial" w:hAnsi="Arial" w:cs="Arial"/>
          <w:sz w:val="24"/>
          <w:szCs w:val="24"/>
        </w:rPr>
        <w:t xml:space="preserve">W trakcie pomiarów badano proces nagrzewania i dynamicznego rozładowywania akumulatora, poprzez pomiary temperatur i przepływów mediów oraz porównywanie ich z wynikami symulacji. Pomiary wykonywano w różnych warunkach: </w:t>
      </w:r>
      <w:r w:rsidRPr="00305DB1">
        <w:rPr>
          <w:rFonts w:ascii="Arial" w:hAnsi="Arial" w:cs="Arial"/>
          <w:color w:val="000000" w:themeColor="text1"/>
          <w:sz w:val="24"/>
          <w:szCs w:val="24"/>
        </w:rPr>
        <w:t xml:space="preserve">przy zróżnicowanych temperaturach zasilania wymiennika, przepływach powietrza obiegowego oraz zróżnicowanych schematach zmian temperatury wody zasilającej. </w:t>
      </w:r>
    </w:p>
    <w:p w:rsidR="008F6FF8" w:rsidRPr="00305DB1" w:rsidRDefault="008F6FF8" w:rsidP="0069444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305DB1">
        <w:rPr>
          <w:rFonts w:ascii="Arial" w:hAnsi="Arial" w:cs="Arial"/>
          <w:sz w:val="24"/>
          <w:szCs w:val="24"/>
        </w:rPr>
        <w:t>Przeprowadzone pomiary wykazały dobrą zgodność z modelowanymi przebiegami teoretycznymi, przy czym niezbędne okazało się wprowadzenie do modelu składników bilansu ciepła, opisujących straty ciepła przez izolowaną obudowę akumulatora.</w:t>
      </w:r>
      <w:r w:rsidR="002330E3">
        <w:rPr>
          <w:rFonts w:ascii="Arial" w:hAnsi="Arial" w:cs="Arial"/>
          <w:sz w:val="24"/>
          <w:szCs w:val="24"/>
        </w:rPr>
        <w:t xml:space="preserve"> </w:t>
      </w:r>
      <w:r w:rsidRPr="00305DB1">
        <w:rPr>
          <w:rFonts w:ascii="Arial" w:hAnsi="Arial" w:cs="Arial"/>
          <w:sz w:val="24"/>
          <w:szCs w:val="24"/>
        </w:rPr>
        <w:t xml:space="preserve">W przypadku nagrzewania wystarczające okazało się wykorzystanie wyników pomiaru gęstości strumienia ciepła na granicy materiału akumulatora </w:t>
      </w:r>
      <w:r w:rsidR="002330E3">
        <w:rPr>
          <w:rFonts w:ascii="Arial" w:hAnsi="Arial" w:cs="Arial"/>
          <w:sz w:val="24"/>
          <w:szCs w:val="24"/>
        </w:rPr>
        <w:br/>
      </w:r>
      <w:r w:rsidRPr="00305DB1">
        <w:rPr>
          <w:rFonts w:ascii="Arial" w:hAnsi="Arial" w:cs="Arial"/>
          <w:sz w:val="24"/>
          <w:szCs w:val="24"/>
        </w:rPr>
        <w:t>i izolacji, natomiast</w:t>
      </w:r>
      <w:r w:rsidR="0069444B" w:rsidRPr="00305DB1">
        <w:rPr>
          <w:rFonts w:ascii="Arial" w:hAnsi="Arial" w:cs="Arial"/>
          <w:sz w:val="24"/>
          <w:szCs w:val="24"/>
        </w:rPr>
        <w:t xml:space="preserve"> </w:t>
      </w:r>
      <w:r w:rsidRPr="00305DB1">
        <w:rPr>
          <w:rFonts w:ascii="Arial" w:hAnsi="Arial" w:cs="Arial"/>
          <w:sz w:val="24"/>
          <w:szCs w:val="24"/>
        </w:rPr>
        <w:t xml:space="preserve">w przypadku chłodzenia konieczne było wprowadzenie doświadczalnie wyznaczonego współczynnika, określającego straty ciepła modelu, na podstawie reprezentatywnej temperatury masy akumulacyjnej oraz temperatury powietrza otaczającego akumulator. </w:t>
      </w:r>
    </w:p>
    <w:p w:rsidR="008F6FF8" w:rsidRPr="00305DB1" w:rsidRDefault="008F6FF8" w:rsidP="0069444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305DB1">
        <w:rPr>
          <w:rFonts w:ascii="Arial" w:hAnsi="Arial" w:cs="Arial"/>
          <w:sz w:val="24"/>
          <w:szCs w:val="24"/>
        </w:rPr>
        <w:t>Poza badaniami doświadczalnymi wykonano obliczenia porównawcze rozkładu temperatury</w:t>
      </w:r>
      <w:r w:rsidR="002330E3">
        <w:rPr>
          <w:rFonts w:ascii="Arial" w:hAnsi="Arial" w:cs="Arial"/>
          <w:sz w:val="24"/>
          <w:szCs w:val="24"/>
        </w:rPr>
        <w:t xml:space="preserve"> </w:t>
      </w:r>
      <w:r w:rsidRPr="00305DB1">
        <w:rPr>
          <w:rFonts w:ascii="Arial" w:hAnsi="Arial" w:cs="Arial"/>
          <w:sz w:val="24"/>
          <w:szCs w:val="24"/>
        </w:rPr>
        <w:t xml:space="preserve">w warunkach nieustalonego dwuwymiarowego przewodzenia ciepła </w:t>
      </w:r>
      <w:r w:rsidR="002330E3">
        <w:rPr>
          <w:rFonts w:ascii="Arial" w:hAnsi="Arial" w:cs="Arial"/>
          <w:sz w:val="24"/>
          <w:szCs w:val="24"/>
        </w:rPr>
        <w:br/>
      </w:r>
      <w:r w:rsidRPr="00305DB1">
        <w:rPr>
          <w:rFonts w:ascii="Arial" w:hAnsi="Arial" w:cs="Arial"/>
          <w:sz w:val="24"/>
          <w:szCs w:val="24"/>
        </w:rPr>
        <w:t>w powtarzalnym elemencie przekroju akumulatora (wykorzystywanym w obliczeniach całościowych). Porównano przebieg nagrzewania przekroju uzyskany przy pomocy zaproponowanego modelu (16 węzłowa siatka</w:t>
      </w:r>
      <w:r w:rsidR="00305DB1" w:rsidRPr="00305DB1">
        <w:rPr>
          <w:rFonts w:ascii="Arial" w:hAnsi="Arial" w:cs="Arial"/>
          <w:sz w:val="24"/>
          <w:szCs w:val="24"/>
        </w:rPr>
        <w:t xml:space="preserve"> </w:t>
      </w:r>
      <w:r w:rsidRPr="00305DB1">
        <w:rPr>
          <w:rFonts w:ascii="Arial" w:hAnsi="Arial" w:cs="Arial"/>
          <w:sz w:val="24"/>
          <w:szCs w:val="24"/>
        </w:rPr>
        <w:t>z komórkami trójkątnymi i rozwiązanie metodą BMES</w:t>
      </w:r>
      <w:r w:rsidR="002330E3">
        <w:rPr>
          <w:rFonts w:ascii="Arial" w:hAnsi="Arial" w:cs="Arial"/>
          <w:sz w:val="24"/>
          <w:szCs w:val="24"/>
        </w:rPr>
        <w:t xml:space="preserve"> </w:t>
      </w:r>
      <w:r w:rsidRPr="00305DB1">
        <w:rPr>
          <w:rFonts w:ascii="Arial" w:hAnsi="Arial" w:cs="Arial"/>
          <w:sz w:val="24"/>
          <w:szCs w:val="24"/>
        </w:rPr>
        <w:t>z wykorzystaniem arkusza Excel) oraz modelu</w:t>
      </w:r>
      <w:r w:rsidR="00305DB1" w:rsidRPr="00305DB1">
        <w:rPr>
          <w:rFonts w:ascii="Arial" w:hAnsi="Arial" w:cs="Arial"/>
          <w:sz w:val="24"/>
          <w:szCs w:val="24"/>
        </w:rPr>
        <w:t xml:space="preserve"> </w:t>
      </w:r>
      <w:r w:rsidRPr="00305DB1">
        <w:rPr>
          <w:rFonts w:ascii="Arial" w:hAnsi="Arial" w:cs="Arial"/>
          <w:sz w:val="24"/>
          <w:szCs w:val="24"/>
        </w:rPr>
        <w:t xml:space="preserve">z siatką złożoną </w:t>
      </w:r>
      <w:r w:rsidR="002330E3">
        <w:rPr>
          <w:rFonts w:ascii="Arial" w:hAnsi="Arial" w:cs="Arial"/>
          <w:sz w:val="24"/>
          <w:szCs w:val="24"/>
        </w:rPr>
        <w:br/>
      </w:r>
      <w:r w:rsidRPr="00305DB1">
        <w:rPr>
          <w:rFonts w:ascii="Arial" w:hAnsi="Arial" w:cs="Arial"/>
          <w:sz w:val="24"/>
          <w:szCs w:val="24"/>
        </w:rPr>
        <w:t>ze 157 węzłów z komórkami prostokątnymi, z rozwiązaniem klasyczną metodą MES (program napisany w Fortranie) oraz przebieg uzyskany przy pomocy oprogramowania CFD (</w:t>
      </w:r>
      <w:proofErr w:type="spellStart"/>
      <w:r w:rsidRPr="00305DB1">
        <w:rPr>
          <w:rFonts w:ascii="Arial" w:hAnsi="Arial" w:cs="Arial"/>
          <w:sz w:val="24"/>
          <w:szCs w:val="24"/>
        </w:rPr>
        <w:t>Ansys</w:t>
      </w:r>
      <w:proofErr w:type="spellEnd"/>
      <w:r w:rsidRPr="00305D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DB1">
        <w:rPr>
          <w:rFonts w:ascii="Arial" w:hAnsi="Arial" w:cs="Arial"/>
          <w:sz w:val="24"/>
          <w:szCs w:val="24"/>
        </w:rPr>
        <w:t>Fluent</w:t>
      </w:r>
      <w:proofErr w:type="spellEnd"/>
      <w:r w:rsidRPr="00305DB1">
        <w:rPr>
          <w:rFonts w:ascii="Arial" w:hAnsi="Arial" w:cs="Arial"/>
          <w:sz w:val="24"/>
          <w:szCs w:val="24"/>
        </w:rPr>
        <w:t xml:space="preserve">) z automatycznie dobraną siatką złożoną </w:t>
      </w:r>
      <w:r w:rsidR="002330E3">
        <w:rPr>
          <w:rFonts w:ascii="Arial" w:hAnsi="Arial" w:cs="Arial"/>
          <w:sz w:val="24"/>
          <w:szCs w:val="24"/>
        </w:rPr>
        <w:br/>
      </w:r>
      <w:r w:rsidRPr="00305DB1">
        <w:rPr>
          <w:rFonts w:ascii="Arial" w:hAnsi="Arial" w:cs="Arial"/>
          <w:sz w:val="24"/>
          <w:szCs w:val="24"/>
        </w:rPr>
        <w:t>z 46617 węzłów</w:t>
      </w:r>
      <w:r w:rsidR="0069444B" w:rsidRPr="00305DB1">
        <w:rPr>
          <w:rFonts w:ascii="Arial" w:hAnsi="Arial" w:cs="Arial"/>
          <w:sz w:val="24"/>
          <w:szCs w:val="24"/>
        </w:rPr>
        <w:t xml:space="preserve"> </w:t>
      </w:r>
      <w:r w:rsidRPr="00305DB1">
        <w:rPr>
          <w:rFonts w:ascii="Arial" w:hAnsi="Arial" w:cs="Arial"/>
          <w:sz w:val="24"/>
          <w:szCs w:val="24"/>
        </w:rPr>
        <w:t xml:space="preserve">z komórkami </w:t>
      </w:r>
      <w:proofErr w:type="spellStart"/>
      <w:r w:rsidRPr="00305DB1">
        <w:rPr>
          <w:rFonts w:ascii="Arial" w:hAnsi="Arial" w:cs="Arial"/>
          <w:sz w:val="24"/>
          <w:szCs w:val="24"/>
        </w:rPr>
        <w:t>prostokątnymi.W</w:t>
      </w:r>
      <w:proofErr w:type="spellEnd"/>
      <w:r w:rsidRPr="00305DB1">
        <w:rPr>
          <w:rFonts w:ascii="Arial" w:hAnsi="Arial" w:cs="Arial"/>
          <w:sz w:val="24"/>
          <w:szCs w:val="24"/>
        </w:rPr>
        <w:t xml:space="preserve"> wyniku przeprowadzenia obliczeń porównawczych, uzyskano prawie idealną zgodność symulacji CFD i BMES, przy czym czas obliczeń przebiegu trwającego 12h w przypadku metody BMES wyniósł kilka sekund podczas gdy w symulacji CFD 63 godziny.</w:t>
      </w:r>
    </w:p>
    <w:p w:rsidR="009E1B70" w:rsidRPr="008F6FF8" w:rsidRDefault="009E1B70">
      <w:pPr>
        <w:spacing w:after="200" w:line="276" w:lineRule="auto"/>
        <w:rPr>
          <w:rFonts w:ascii="Arial" w:eastAsiaTheme="minorEastAsia" w:hAnsi="Arial" w:cs="Arial"/>
          <w:sz w:val="28"/>
          <w:szCs w:val="28"/>
          <w:lang w:bidi="en-US"/>
        </w:rPr>
      </w:pPr>
    </w:p>
    <w:sectPr w:rsidR="009E1B70" w:rsidRPr="008F6FF8" w:rsidSect="00265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ACD0BD8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96AA6"/>
    <w:multiLevelType w:val="hybridMultilevel"/>
    <w:tmpl w:val="46A4913A"/>
    <w:lvl w:ilvl="0" w:tplc="A9E8B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31B2D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1146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>
    <w:nsid w:val="7E8036F9"/>
    <w:multiLevelType w:val="hybridMultilevel"/>
    <w:tmpl w:val="2D3EF7DE"/>
    <w:lvl w:ilvl="0" w:tplc="9AE26D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lesław Czarnecki">
    <w15:presenceInfo w15:providerId="None" w15:userId="Bolesław Czarnecki"/>
  </w15:person>
  <w15:person w15:author="Kasia">
    <w15:presenceInfo w15:providerId="None" w15:userId="Kas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awNDewNDYyNDK3tDA3tjBR0lEKTi0uzszPAykwqgUAcDVOGSwAAAA="/>
  </w:docVars>
  <w:rsids>
    <w:rsidRoot w:val="001A36D8"/>
    <w:rsid w:val="00001991"/>
    <w:rsid w:val="00015674"/>
    <w:rsid w:val="000413F9"/>
    <w:rsid w:val="00066B90"/>
    <w:rsid w:val="0009744B"/>
    <w:rsid w:val="000B018E"/>
    <w:rsid w:val="000B667C"/>
    <w:rsid w:val="000C3519"/>
    <w:rsid w:val="00123449"/>
    <w:rsid w:val="0018295F"/>
    <w:rsid w:val="00182AB3"/>
    <w:rsid w:val="001A1F5C"/>
    <w:rsid w:val="001A36D8"/>
    <w:rsid w:val="001C1269"/>
    <w:rsid w:val="001D04CC"/>
    <w:rsid w:val="001D5C88"/>
    <w:rsid w:val="001E53E0"/>
    <w:rsid w:val="00223D63"/>
    <w:rsid w:val="002330E3"/>
    <w:rsid w:val="0025164E"/>
    <w:rsid w:val="002650FE"/>
    <w:rsid w:val="002B4CCC"/>
    <w:rsid w:val="002C6301"/>
    <w:rsid w:val="00300CBB"/>
    <w:rsid w:val="00303E75"/>
    <w:rsid w:val="00305DB1"/>
    <w:rsid w:val="00350FD9"/>
    <w:rsid w:val="00365D53"/>
    <w:rsid w:val="004131B2"/>
    <w:rsid w:val="00457C7B"/>
    <w:rsid w:val="00470F01"/>
    <w:rsid w:val="004750A0"/>
    <w:rsid w:val="00484A0A"/>
    <w:rsid w:val="004A439F"/>
    <w:rsid w:val="004D1150"/>
    <w:rsid w:val="00504A5C"/>
    <w:rsid w:val="005216D0"/>
    <w:rsid w:val="00555DAE"/>
    <w:rsid w:val="00572C47"/>
    <w:rsid w:val="005D394A"/>
    <w:rsid w:val="005F3E5F"/>
    <w:rsid w:val="006279C1"/>
    <w:rsid w:val="00634C27"/>
    <w:rsid w:val="00646050"/>
    <w:rsid w:val="00677E07"/>
    <w:rsid w:val="00690152"/>
    <w:rsid w:val="0069444B"/>
    <w:rsid w:val="006C5E69"/>
    <w:rsid w:val="00711449"/>
    <w:rsid w:val="00732020"/>
    <w:rsid w:val="0076140D"/>
    <w:rsid w:val="007F2907"/>
    <w:rsid w:val="00803182"/>
    <w:rsid w:val="0089111C"/>
    <w:rsid w:val="00892104"/>
    <w:rsid w:val="008E7976"/>
    <w:rsid w:val="008E7C48"/>
    <w:rsid w:val="008F6FF8"/>
    <w:rsid w:val="00907876"/>
    <w:rsid w:val="00916C0E"/>
    <w:rsid w:val="00926BDC"/>
    <w:rsid w:val="009310B7"/>
    <w:rsid w:val="009419F8"/>
    <w:rsid w:val="00981C4C"/>
    <w:rsid w:val="009A0746"/>
    <w:rsid w:val="009E1B70"/>
    <w:rsid w:val="00A12511"/>
    <w:rsid w:val="00A14B5F"/>
    <w:rsid w:val="00A1799D"/>
    <w:rsid w:val="00A4566B"/>
    <w:rsid w:val="00A84824"/>
    <w:rsid w:val="00AE0C5C"/>
    <w:rsid w:val="00AF5640"/>
    <w:rsid w:val="00B2688F"/>
    <w:rsid w:val="00B37314"/>
    <w:rsid w:val="00B63090"/>
    <w:rsid w:val="00B6438F"/>
    <w:rsid w:val="00BB4BEE"/>
    <w:rsid w:val="00BE6D4C"/>
    <w:rsid w:val="00BE7633"/>
    <w:rsid w:val="00BF16FF"/>
    <w:rsid w:val="00C01C11"/>
    <w:rsid w:val="00C200A2"/>
    <w:rsid w:val="00C5520B"/>
    <w:rsid w:val="00C64ED7"/>
    <w:rsid w:val="00CB6719"/>
    <w:rsid w:val="00CE1987"/>
    <w:rsid w:val="00D00879"/>
    <w:rsid w:val="00D14B21"/>
    <w:rsid w:val="00D15294"/>
    <w:rsid w:val="00D31500"/>
    <w:rsid w:val="00D60616"/>
    <w:rsid w:val="00D76239"/>
    <w:rsid w:val="00D903E9"/>
    <w:rsid w:val="00E12960"/>
    <w:rsid w:val="00E172A2"/>
    <w:rsid w:val="00E232B8"/>
    <w:rsid w:val="00E263F7"/>
    <w:rsid w:val="00E6472C"/>
    <w:rsid w:val="00E839AE"/>
    <w:rsid w:val="00EC2F6D"/>
    <w:rsid w:val="00EC6519"/>
    <w:rsid w:val="00F12B75"/>
    <w:rsid w:val="00F61B8C"/>
    <w:rsid w:val="00F63B4C"/>
    <w:rsid w:val="00F76B06"/>
    <w:rsid w:val="00FB3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50FE"/>
  </w:style>
  <w:style w:type="paragraph" w:styleId="Nagwek1">
    <w:name w:val="heading 1"/>
    <w:basedOn w:val="Normalny"/>
    <w:next w:val="Normalny"/>
    <w:link w:val="Nagwek1Znak"/>
    <w:uiPriority w:val="9"/>
    <w:qFormat/>
    <w:rsid w:val="008F6FF8"/>
    <w:pPr>
      <w:keepNext/>
      <w:numPr>
        <w:numId w:val="3"/>
      </w:numPr>
      <w:spacing w:before="240" w:after="6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bidi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6FF8"/>
    <w:pPr>
      <w:keepNext/>
      <w:numPr>
        <w:ilvl w:val="1"/>
        <w:numId w:val="3"/>
      </w:numPr>
      <w:spacing w:before="240" w:after="6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F6FF8"/>
    <w:pPr>
      <w:keepNext/>
      <w:numPr>
        <w:ilvl w:val="2"/>
        <w:numId w:val="3"/>
      </w:numPr>
      <w:spacing w:before="240" w:after="6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F6FF8"/>
    <w:pPr>
      <w:keepNext/>
      <w:numPr>
        <w:ilvl w:val="3"/>
        <w:numId w:val="3"/>
      </w:numPr>
      <w:spacing w:before="240" w:after="60" w:line="240" w:lineRule="auto"/>
      <w:jc w:val="both"/>
      <w:outlineLvl w:val="3"/>
    </w:pPr>
    <w:rPr>
      <w:rFonts w:eastAsiaTheme="minorEastAsia" w:cstheme="majorBidi"/>
      <w:b/>
      <w:bCs/>
      <w:sz w:val="28"/>
      <w:szCs w:val="28"/>
      <w:lang w:val="en-US"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6FF8"/>
    <w:pPr>
      <w:numPr>
        <w:ilvl w:val="4"/>
        <w:numId w:val="3"/>
      </w:numPr>
      <w:spacing w:before="240" w:after="60" w:line="240" w:lineRule="auto"/>
      <w:jc w:val="both"/>
      <w:outlineLvl w:val="4"/>
    </w:pPr>
    <w:rPr>
      <w:rFonts w:eastAsiaTheme="minorEastAsia" w:cstheme="majorBidi"/>
      <w:b/>
      <w:bCs/>
      <w:i/>
      <w:iCs/>
      <w:sz w:val="26"/>
      <w:szCs w:val="26"/>
      <w:lang w:val="en-US"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6FF8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eastAsiaTheme="minorEastAsia" w:cstheme="majorBidi"/>
      <w:b/>
      <w:bCs/>
      <w:lang w:val="en-US"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6FF8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eastAsiaTheme="minorEastAsia" w:cstheme="majorBidi"/>
      <w:sz w:val="24"/>
      <w:szCs w:val="24"/>
      <w:lang w:val="en-US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6FF8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eastAsiaTheme="minorEastAsia" w:cstheme="majorBidi"/>
      <w:i/>
      <w:iCs/>
      <w:sz w:val="24"/>
      <w:szCs w:val="24"/>
      <w:lang w:val="en-US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6FF8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Theme="majorHAnsi" w:eastAsiaTheme="majorEastAsia" w:hAnsiTheme="majorHAnsi" w:cstheme="majorBidi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3E75"/>
    <w:pPr>
      <w:spacing w:before="120" w:after="0" w:line="240" w:lineRule="auto"/>
      <w:ind w:left="720"/>
      <w:contextualSpacing/>
      <w:jc w:val="both"/>
    </w:pPr>
    <w:rPr>
      <w:rFonts w:eastAsiaTheme="minorEastAsia" w:cs="Times New Roman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3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1B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08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08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08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08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0879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8F6FF8"/>
    <w:rPr>
      <w:rFonts w:asciiTheme="majorHAnsi" w:eastAsiaTheme="majorEastAsia" w:hAnsiTheme="majorHAnsi" w:cstheme="majorBidi"/>
      <w:b/>
      <w:bCs/>
      <w:kern w:val="32"/>
      <w:sz w:val="32"/>
      <w:szCs w:val="32"/>
      <w:lang w:val="en-US" w:bidi="en-US"/>
    </w:rPr>
  </w:style>
  <w:style w:type="character" w:customStyle="1" w:styleId="Nagwek2Znak">
    <w:name w:val="Nagłówek 2 Znak"/>
    <w:basedOn w:val="Domylnaczcionkaakapitu"/>
    <w:link w:val="Nagwek2"/>
    <w:uiPriority w:val="9"/>
    <w:rsid w:val="008F6FF8"/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8F6FF8"/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character" w:customStyle="1" w:styleId="Nagwek4Znak">
    <w:name w:val="Nagłówek 4 Znak"/>
    <w:basedOn w:val="Domylnaczcionkaakapitu"/>
    <w:link w:val="Nagwek4"/>
    <w:uiPriority w:val="9"/>
    <w:rsid w:val="008F6FF8"/>
    <w:rPr>
      <w:rFonts w:eastAsiaTheme="minorEastAsia" w:cstheme="majorBidi"/>
      <w:b/>
      <w:bCs/>
      <w:sz w:val="28"/>
      <w:szCs w:val="28"/>
      <w:lang w:val="en-US" w:bidi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6FF8"/>
    <w:rPr>
      <w:rFonts w:eastAsiaTheme="minorEastAsia" w:cstheme="majorBidi"/>
      <w:b/>
      <w:bCs/>
      <w:i/>
      <w:iCs/>
      <w:sz w:val="26"/>
      <w:szCs w:val="26"/>
      <w:lang w:val="en-US" w:bidi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6FF8"/>
    <w:rPr>
      <w:rFonts w:eastAsiaTheme="minorEastAsia" w:cstheme="majorBidi"/>
      <w:b/>
      <w:bCs/>
      <w:lang w:val="en-US" w:bidi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6FF8"/>
    <w:rPr>
      <w:rFonts w:eastAsiaTheme="minorEastAsia" w:cstheme="majorBidi"/>
      <w:sz w:val="24"/>
      <w:szCs w:val="24"/>
      <w:lang w:val="en-US" w:bidi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6FF8"/>
    <w:rPr>
      <w:rFonts w:eastAsiaTheme="minorEastAsia" w:cstheme="majorBidi"/>
      <w:i/>
      <w:iCs/>
      <w:sz w:val="24"/>
      <w:szCs w:val="24"/>
      <w:lang w:val="en-US" w:bidi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6FF8"/>
    <w:rPr>
      <w:rFonts w:asciiTheme="majorHAnsi" w:eastAsiaTheme="majorEastAsia" w:hAnsiTheme="majorHAnsi" w:cstheme="majorBidi"/>
      <w:lang w:val="en-US" w:bidi="en-US"/>
    </w:rPr>
  </w:style>
  <w:style w:type="character" w:customStyle="1" w:styleId="shorttext">
    <w:name w:val="short_text"/>
    <w:basedOn w:val="Domylnaczcionkaakapitu"/>
    <w:rsid w:val="006279C1"/>
  </w:style>
  <w:style w:type="character" w:customStyle="1" w:styleId="hps">
    <w:name w:val="hps"/>
    <w:basedOn w:val="Domylnaczcionkaakapitu"/>
    <w:rsid w:val="006279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50FE"/>
  </w:style>
  <w:style w:type="paragraph" w:styleId="Nagwek1">
    <w:name w:val="heading 1"/>
    <w:basedOn w:val="Normalny"/>
    <w:next w:val="Normalny"/>
    <w:link w:val="Nagwek1Znak"/>
    <w:uiPriority w:val="9"/>
    <w:qFormat/>
    <w:rsid w:val="008F6FF8"/>
    <w:pPr>
      <w:keepNext/>
      <w:numPr>
        <w:numId w:val="3"/>
      </w:numPr>
      <w:spacing w:before="240" w:after="6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bidi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6FF8"/>
    <w:pPr>
      <w:keepNext/>
      <w:numPr>
        <w:ilvl w:val="1"/>
        <w:numId w:val="3"/>
      </w:numPr>
      <w:spacing w:before="240" w:after="6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F6FF8"/>
    <w:pPr>
      <w:keepNext/>
      <w:numPr>
        <w:ilvl w:val="2"/>
        <w:numId w:val="3"/>
      </w:numPr>
      <w:spacing w:before="240" w:after="6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F6FF8"/>
    <w:pPr>
      <w:keepNext/>
      <w:numPr>
        <w:ilvl w:val="3"/>
        <w:numId w:val="3"/>
      </w:numPr>
      <w:spacing w:before="240" w:after="60" w:line="240" w:lineRule="auto"/>
      <w:jc w:val="both"/>
      <w:outlineLvl w:val="3"/>
    </w:pPr>
    <w:rPr>
      <w:rFonts w:eastAsiaTheme="minorEastAsia" w:cstheme="majorBidi"/>
      <w:b/>
      <w:bCs/>
      <w:sz w:val="28"/>
      <w:szCs w:val="28"/>
      <w:lang w:val="en-US"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6FF8"/>
    <w:pPr>
      <w:numPr>
        <w:ilvl w:val="4"/>
        <w:numId w:val="3"/>
      </w:numPr>
      <w:spacing w:before="240" w:after="60" w:line="240" w:lineRule="auto"/>
      <w:jc w:val="both"/>
      <w:outlineLvl w:val="4"/>
    </w:pPr>
    <w:rPr>
      <w:rFonts w:eastAsiaTheme="minorEastAsia" w:cstheme="majorBidi"/>
      <w:b/>
      <w:bCs/>
      <w:i/>
      <w:iCs/>
      <w:sz w:val="26"/>
      <w:szCs w:val="26"/>
      <w:lang w:val="en-US"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6FF8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eastAsiaTheme="minorEastAsia" w:cstheme="majorBidi"/>
      <w:b/>
      <w:bCs/>
      <w:lang w:val="en-US"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6FF8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eastAsiaTheme="minorEastAsia" w:cstheme="majorBidi"/>
      <w:sz w:val="24"/>
      <w:szCs w:val="24"/>
      <w:lang w:val="en-US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6FF8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eastAsiaTheme="minorEastAsia" w:cstheme="majorBidi"/>
      <w:i/>
      <w:iCs/>
      <w:sz w:val="24"/>
      <w:szCs w:val="24"/>
      <w:lang w:val="en-US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6FF8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Theme="majorHAnsi" w:eastAsiaTheme="majorEastAsia" w:hAnsiTheme="majorHAnsi" w:cstheme="majorBidi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3E75"/>
    <w:pPr>
      <w:spacing w:before="120" w:after="0" w:line="240" w:lineRule="auto"/>
      <w:ind w:left="720"/>
      <w:contextualSpacing/>
      <w:jc w:val="both"/>
    </w:pPr>
    <w:rPr>
      <w:rFonts w:eastAsiaTheme="minorEastAsia" w:cs="Times New Roman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3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1B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08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08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08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08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0879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8F6FF8"/>
    <w:rPr>
      <w:rFonts w:asciiTheme="majorHAnsi" w:eastAsiaTheme="majorEastAsia" w:hAnsiTheme="majorHAnsi" w:cstheme="majorBidi"/>
      <w:b/>
      <w:bCs/>
      <w:kern w:val="32"/>
      <w:sz w:val="32"/>
      <w:szCs w:val="32"/>
      <w:lang w:val="en-US" w:bidi="en-US"/>
    </w:rPr>
  </w:style>
  <w:style w:type="character" w:customStyle="1" w:styleId="Nagwek2Znak">
    <w:name w:val="Nagłówek 2 Znak"/>
    <w:basedOn w:val="Domylnaczcionkaakapitu"/>
    <w:link w:val="Nagwek2"/>
    <w:uiPriority w:val="9"/>
    <w:rsid w:val="008F6FF8"/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8F6FF8"/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character" w:customStyle="1" w:styleId="Nagwek4Znak">
    <w:name w:val="Nagłówek 4 Znak"/>
    <w:basedOn w:val="Domylnaczcionkaakapitu"/>
    <w:link w:val="Nagwek4"/>
    <w:uiPriority w:val="9"/>
    <w:rsid w:val="008F6FF8"/>
    <w:rPr>
      <w:rFonts w:eastAsiaTheme="minorEastAsia" w:cstheme="majorBidi"/>
      <w:b/>
      <w:bCs/>
      <w:sz w:val="28"/>
      <w:szCs w:val="28"/>
      <w:lang w:val="en-US" w:bidi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6FF8"/>
    <w:rPr>
      <w:rFonts w:eastAsiaTheme="minorEastAsia" w:cstheme="majorBidi"/>
      <w:b/>
      <w:bCs/>
      <w:i/>
      <w:iCs/>
      <w:sz w:val="26"/>
      <w:szCs w:val="26"/>
      <w:lang w:val="en-US" w:bidi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6FF8"/>
    <w:rPr>
      <w:rFonts w:eastAsiaTheme="minorEastAsia" w:cstheme="majorBidi"/>
      <w:b/>
      <w:bCs/>
      <w:lang w:val="en-US" w:bidi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6FF8"/>
    <w:rPr>
      <w:rFonts w:eastAsiaTheme="minorEastAsia" w:cstheme="majorBidi"/>
      <w:sz w:val="24"/>
      <w:szCs w:val="24"/>
      <w:lang w:val="en-US" w:bidi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6FF8"/>
    <w:rPr>
      <w:rFonts w:eastAsiaTheme="minorEastAsia" w:cstheme="majorBidi"/>
      <w:i/>
      <w:iCs/>
      <w:sz w:val="24"/>
      <w:szCs w:val="24"/>
      <w:lang w:val="en-US" w:bidi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6FF8"/>
    <w:rPr>
      <w:rFonts w:asciiTheme="majorHAnsi" w:eastAsiaTheme="majorEastAsia" w:hAnsiTheme="majorHAnsi" w:cstheme="majorBidi"/>
      <w:lang w:val="en-US" w:bidi="en-US"/>
    </w:rPr>
  </w:style>
  <w:style w:type="character" w:customStyle="1" w:styleId="shorttext">
    <w:name w:val="short_text"/>
    <w:basedOn w:val="Domylnaczcionkaakapitu"/>
    <w:rsid w:val="006279C1"/>
  </w:style>
  <w:style w:type="character" w:customStyle="1" w:styleId="hps">
    <w:name w:val="hps"/>
    <w:basedOn w:val="Domylnaczcionkaakapitu"/>
    <w:rsid w:val="006279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4249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5D707-5659-4A4D-9C73-2E41148A5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1142</Words>
  <Characters>6856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ThinkPad</dc:creator>
  <cp:lastModifiedBy>Jacek ThinkPad</cp:lastModifiedBy>
  <cp:revision>2</cp:revision>
  <dcterms:created xsi:type="dcterms:W3CDTF">2016-01-13T11:04:00Z</dcterms:created>
  <dcterms:modified xsi:type="dcterms:W3CDTF">2016-01-13T11:04:00Z</dcterms:modified>
</cp:coreProperties>
</file>